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C08EB" w14:textId="77777777" w:rsidR="006E6D00" w:rsidRPr="006E6D00" w:rsidRDefault="006E6D00" w:rsidP="00E50E6A">
      <w:pPr>
        <w:spacing w:after="75" w:line="240" w:lineRule="auto"/>
        <w:jc w:val="both"/>
        <w:outlineLvl w:val="0"/>
        <w:rPr>
          <w:rFonts w:ascii="Arial" w:eastAsia="Times New Roman" w:hAnsi="Arial" w:cs="Arial"/>
          <w:b/>
          <w:bCs/>
          <w:color w:val="212529"/>
          <w:kern w:val="36"/>
          <w:sz w:val="54"/>
          <w:szCs w:val="54"/>
          <w:lang w:eastAsia="it-IT"/>
          <w14:ligatures w14:val="none"/>
        </w:rPr>
      </w:pPr>
      <w:bookmarkStart w:id="0" w:name="_GoBack"/>
      <w:bookmarkEnd w:id="0"/>
      <w:r w:rsidRPr="006E6D00">
        <w:rPr>
          <w:rFonts w:ascii="Arial" w:eastAsia="Times New Roman" w:hAnsi="Arial" w:cs="Arial"/>
          <w:b/>
          <w:bCs/>
          <w:color w:val="212529"/>
          <w:kern w:val="36"/>
          <w:sz w:val="54"/>
          <w:szCs w:val="54"/>
          <w:lang w:eastAsia="it-IT"/>
          <w14:ligatures w14:val="none"/>
        </w:rPr>
        <w:t>Pensioni, per i professionisti scatta la ricongiunzione nella gestione separata</w:t>
      </w:r>
    </w:p>
    <w:p w14:paraId="2EBF27AB" w14:textId="77777777" w:rsidR="006E6D00" w:rsidRPr="006E6D00" w:rsidRDefault="006E6D00" w:rsidP="00E50E6A">
      <w:pPr>
        <w:spacing w:after="100" w:afterAutospacing="1" w:line="360" w:lineRule="atLeast"/>
        <w:jc w:val="both"/>
        <w:outlineLvl w:val="1"/>
        <w:rPr>
          <w:rFonts w:ascii="guyot-sans" w:eastAsia="Times New Roman" w:hAnsi="guyot-sans" w:cs="Arial"/>
          <w:color w:val="3E433A"/>
          <w:kern w:val="0"/>
          <w:sz w:val="25"/>
          <w:szCs w:val="25"/>
          <w:lang w:eastAsia="it-IT"/>
          <w14:ligatures w14:val="none"/>
        </w:rPr>
      </w:pPr>
      <w:r w:rsidRPr="006E6D00">
        <w:rPr>
          <w:rFonts w:ascii="guyot-sans" w:eastAsia="Times New Roman" w:hAnsi="guyot-sans" w:cs="Arial"/>
          <w:color w:val="3E433A"/>
          <w:kern w:val="0"/>
          <w:sz w:val="25"/>
          <w:szCs w:val="25"/>
          <w:lang w:eastAsia="it-IT"/>
          <w14:ligatures w14:val="none"/>
        </w:rPr>
        <w:t>Chi ha versato alle Casse di previdenza dal 1° aprile 1996 potrà trasferire (a pagamento) i contributi all’Inps. Ecco come fare e quanto costerà</w:t>
      </w:r>
    </w:p>
    <w:p w14:paraId="76618E2E" w14:textId="77777777" w:rsidR="006E6D00" w:rsidRPr="006E6D00" w:rsidRDefault="006E6D00" w:rsidP="00E50E6A">
      <w:pPr>
        <w:spacing w:after="0" w:line="240" w:lineRule="auto"/>
        <w:jc w:val="both"/>
        <w:rPr>
          <w:rFonts w:ascii="Arial" w:eastAsia="Times New Roman" w:hAnsi="Arial" w:cs="Arial"/>
          <w:color w:val="212529"/>
          <w:kern w:val="0"/>
          <w:sz w:val="24"/>
          <w:szCs w:val="24"/>
          <w:lang w:eastAsia="it-IT"/>
          <w14:ligatures w14:val="none"/>
        </w:rPr>
      </w:pPr>
      <w:r w:rsidRPr="006E6D00">
        <w:rPr>
          <w:rFonts w:ascii="Arial" w:eastAsia="Times New Roman" w:hAnsi="Arial" w:cs="Arial"/>
          <w:noProof/>
          <w:color w:val="212529"/>
          <w:kern w:val="0"/>
          <w:sz w:val="24"/>
          <w:szCs w:val="24"/>
          <w:lang w:eastAsia="it-IT"/>
          <w14:ligatures w14:val="none"/>
        </w:rPr>
        <mc:AlternateContent>
          <mc:Choice Requires="wps">
            <w:drawing>
              <wp:inline distT="0" distB="0" distL="0" distR="0" wp14:anchorId="112E34AC" wp14:editId="34A7756A">
                <wp:extent cx="342900" cy="342900"/>
                <wp:effectExtent l="0" t="0" r="0" b="0"/>
                <wp:docPr id="12965107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CDCB8" id="AutoShape 2" o:spid="_x0000_s1026"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" filled="f" stroked="f">
                <o:lock v:ext="edit" aspectratio="t"/>
                <w10:anchorlock/>
              </v:rect>
            </w:pict>
          </mc:Fallback>
        </mc:AlternateContent>
      </w:r>
    </w:p>
    <w:p w14:paraId="17986A5B" w14:textId="77777777" w:rsidR="006E6D00" w:rsidRPr="006E6D00" w:rsidRDefault="006E6D00" w:rsidP="00E50E6A">
      <w:pPr>
        <w:spacing w:after="0" w:line="270" w:lineRule="atLeast"/>
        <w:jc w:val="both"/>
        <w:rPr>
          <w:rFonts w:ascii="guyot-sans" w:eastAsia="Times New Roman" w:hAnsi="guyot-sans" w:cs="Arial"/>
          <w:color w:val="103E19"/>
          <w:kern w:val="0"/>
          <w:sz w:val="21"/>
          <w:szCs w:val="21"/>
          <w:lang w:eastAsia="it-IT"/>
          <w14:ligatures w14:val="none"/>
        </w:rPr>
      </w:pPr>
      <w:r w:rsidRPr="006E6D00">
        <w:rPr>
          <w:rFonts w:ascii="guyot-sans" w:eastAsia="Times New Roman" w:hAnsi="guyot-sans" w:cs="Arial"/>
          <w:color w:val="103E19"/>
          <w:kern w:val="0"/>
          <w:sz w:val="21"/>
          <w:szCs w:val="21"/>
          <w:lang w:eastAsia="it-IT"/>
          <w14:ligatures w14:val="none"/>
        </w:rPr>
        <w:t>di </w:t>
      </w:r>
      <w:hyperlink r:id="rId6" w:history="1">
        <w:r w:rsidRPr="006E6D00">
          <w:rPr>
            <w:rFonts w:ascii="guyot-sans" w:eastAsia="Times New Roman" w:hAnsi="guyot-sans" w:cs="Arial"/>
            <w:b/>
            <w:bCs/>
            <w:color w:val="103E19"/>
            <w:kern w:val="0"/>
            <w:sz w:val="21"/>
            <w:szCs w:val="21"/>
            <w:lang w:eastAsia="it-IT"/>
            <w14:ligatures w14:val="none"/>
          </w:rPr>
          <w:t>Daniele Cirioli</w:t>
        </w:r>
      </w:hyperlink>
      <w:r w:rsidRPr="006E6D00">
        <w:rPr>
          <w:rFonts w:ascii="guyot-sans" w:eastAsia="Times New Roman" w:hAnsi="guyot-sans" w:cs="Arial"/>
          <w:color w:val="103E19"/>
          <w:kern w:val="0"/>
          <w:sz w:val="21"/>
          <w:szCs w:val="21"/>
          <w:lang w:eastAsia="it-IT"/>
          <w14:ligatures w14:val="none"/>
        </w:rPr>
        <w:t>11/02/2026|Aggiornato il 11/02/2026 07:19</w:t>
      </w:r>
    </w:p>
    <w:p w14:paraId="4D438199" w14:textId="77777777" w:rsidR="006E6D00" w:rsidRPr="006E6D00" w:rsidRDefault="006E6D00" w:rsidP="00E50E6A">
      <w:pPr>
        <w:spacing w:after="100" w:afterAutospacing="1" w:line="420" w:lineRule="atLeast"/>
        <w:jc w:val="both"/>
        <w:rPr>
          <w:rFonts w:ascii="Arial" w:eastAsia="Times New Roman" w:hAnsi="Arial" w:cs="Arial"/>
          <w:color w:val="212529"/>
          <w:kern w:val="0"/>
          <w:sz w:val="25"/>
          <w:szCs w:val="25"/>
          <w:lang w:eastAsia="it-IT"/>
          <w14:ligatures w14:val="none"/>
        </w:rPr>
      </w:pPr>
      <w:r w:rsidRPr="006E6D00">
        <w:rPr>
          <w:rFonts w:ascii="Arial" w:eastAsia="Times New Roman" w:hAnsi="Arial" w:cs="Arial"/>
          <w:color w:val="212529"/>
          <w:kern w:val="0"/>
          <w:sz w:val="25"/>
          <w:szCs w:val="25"/>
          <w:lang w:eastAsia="it-IT"/>
          <w14:ligatures w14:val="none"/>
        </w:rPr>
        <w:t>Via libera alla </w:t>
      </w:r>
      <w:r w:rsidRPr="006E6D00">
        <w:rPr>
          <w:rFonts w:ascii="Arial" w:eastAsia="Times New Roman" w:hAnsi="Arial" w:cs="Arial"/>
          <w:b/>
          <w:bCs/>
          <w:color w:val="212529"/>
          <w:kern w:val="0"/>
          <w:sz w:val="25"/>
          <w:szCs w:val="25"/>
          <w:lang w:eastAsia="it-IT"/>
          <w14:ligatures w14:val="none"/>
        </w:rPr>
        <w:t>ricongiunzione</w:t>
      </w:r>
      <w:r w:rsidRPr="006E6D00">
        <w:rPr>
          <w:rFonts w:ascii="Arial" w:eastAsia="Times New Roman" w:hAnsi="Arial" w:cs="Arial"/>
          <w:color w:val="212529"/>
          <w:kern w:val="0"/>
          <w:sz w:val="25"/>
          <w:szCs w:val="25"/>
          <w:lang w:eastAsia="it-IT"/>
          <w14:ligatures w14:val="none"/>
        </w:rPr>
        <w:t>, presso la </w:t>
      </w:r>
      <w:r w:rsidRPr="006E6D00">
        <w:rPr>
          <w:rFonts w:ascii="Arial" w:eastAsia="Times New Roman" w:hAnsi="Arial" w:cs="Arial"/>
          <w:b/>
          <w:bCs/>
          <w:color w:val="212529"/>
          <w:kern w:val="0"/>
          <w:sz w:val="25"/>
          <w:szCs w:val="25"/>
          <w:lang w:eastAsia="it-IT"/>
          <w14:ligatures w14:val="none"/>
        </w:rPr>
        <w:t>gestione separata Inps</w:t>
      </w:r>
      <w:r w:rsidRPr="006E6D00">
        <w:rPr>
          <w:rFonts w:ascii="Arial" w:eastAsia="Times New Roman" w:hAnsi="Arial" w:cs="Arial"/>
          <w:color w:val="212529"/>
          <w:kern w:val="0"/>
          <w:sz w:val="25"/>
          <w:szCs w:val="25"/>
          <w:lang w:eastAsia="it-IT"/>
          <w14:ligatures w14:val="none"/>
        </w:rPr>
        <w:t>, dei contributi versati in una cassa di previdenza dai </w:t>
      </w:r>
      <w:r w:rsidRPr="006E6D00">
        <w:rPr>
          <w:rFonts w:ascii="Arial" w:eastAsia="Times New Roman" w:hAnsi="Arial" w:cs="Arial"/>
          <w:b/>
          <w:bCs/>
          <w:color w:val="212529"/>
          <w:kern w:val="0"/>
          <w:sz w:val="25"/>
          <w:szCs w:val="25"/>
          <w:lang w:eastAsia="it-IT"/>
          <w14:ligatures w14:val="none"/>
        </w:rPr>
        <w:t>liberi professionisti</w:t>
      </w:r>
      <w:r w:rsidRPr="006E6D00">
        <w:rPr>
          <w:rFonts w:ascii="Arial" w:eastAsia="Times New Roman" w:hAnsi="Arial" w:cs="Arial"/>
          <w:color w:val="212529"/>
          <w:kern w:val="0"/>
          <w:sz w:val="25"/>
          <w:szCs w:val="25"/>
          <w:lang w:eastAsia="it-IT"/>
          <w14:ligatures w14:val="none"/>
        </w:rPr>
        <w:t>. La nuova facoltà può essere esercitata soltanto dai professionisti con contributi versati in una cassa successivamente al 31 marzo 1996, perché la gestione separata è operativa </w:t>
      </w:r>
      <w:r w:rsidRPr="006E6D00">
        <w:rPr>
          <w:rFonts w:ascii="Arial" w:eastAsia="Times New Roman" w:hAnsi="Arial" w:cs="Arial"/>
          <w:b/>
          <w:bCs/>
          <w:color w:val="212529"/>
          <w:kern w:val="0"/>
          <w:sz w:val="25"/>
          <w:szCs w:val="25"/>
          <w:lang w:eastAsia="it-IT"/>
          <w14:ligatures w14:val="none"/>
        </w:rPr>
        <w:t>dal 1° aprile 1996</w:t>
      </w:r>
      <w:r w:rsidRPr="006E6D00">
        <w:rPr>
          <w:rFonts w:ascii="Arial" w:eastAsia="Times New Roman" w:hAnsi="Arial" w:cs="Arial"/>
          <w:color w:val="212529"/>
          <w:kern w:val="0"/>
          <w:sz w:val="25"/>
          <w:szCs w:val="25"/>
          <w:lang w:eastAsia="it-IT"/>
          <w14:ligatures w14:val="none"/>
        </w:rPr>
        <w:t>. L’onere da pagare è pari alla differenza tra l’importo teorico dei contributi dovuti alla gestione separata - aliquota ordinaria del 33%, ridotta al 25% ai professionisti - e l’ammontare dei </w:t>
      </w:r>
      <w:r w:rsidRPr="006E6D00">
        <w:rPr>
          <w:rFonts w:ascii="Arial" w:eastAsia="Times New Roman" w:hAnsi="Arial" w:cs="Arial"/>
          <w:b/>
          <w:bCs/>
          <w:color w:val="212529"/>
          <w:kern w:val="0"/>
          <w:sz w:val="25"/>
          <w:szCs w:val="25"/>
          <w:lang w:eastAsia="it-IT"/>
          <w14:ligatures w14:val="none"/>
        </w:rPr>
        <w:t>contributi oggetto di trasferimento</w:t>
      </w:r>
      <w:r w:rsidRPr="006E6D00">
        <w:rPr>
          <w:rFonts w:ascii="Arial" w:eastAsia="Times New Roman" w:hAnsi="Arial" w:cs="Arial"/>
          <w:color w:val="212529"/>
          <w:kern w:val="0"/>
          <w:sz w:val="25"/>
          <w:szCs w:val="25"/>
          <w:lang w:eastAsia="it-IT"/>
          <w14:ligatures w14:val="none"/>
        </w:rPr>
        <w:t> (ciò, di fatto, rende la ricongiunzione una sorta di «riscatto» contributivo). A spiegarlo è l’</w:t>
      </w:r>
      <w:r w:rsidRPr="006E6D00">
        <w:rPr>
          <w:rFonts w:ascii="Arial" w:eastAsia="Times New Roman" w:hAnsi="Arial" w:cs="Arial"/>
          <w:b/>
          <w:bCs/>
          <w:color w:val="212529"/>
          <w:kern w:val="0"/>
          <w:sz w:val="25"/>
          <w:szCs w:val="25"/>
          <w:lang w:eastAsia="it-IT"/>
          <w14:ligatures w14:val="none"/>
        </w:rPr>
        <w:t>Inps</w:t>
      </w:r>
      <w:r w:rsidRPr="006E6D00">
        <w:rPr>
          <w:rFonts w:ascii="Arial" w:eastAsia="Times New Roman" w:hAnsi="Arial" w:cs="Arial"/>
          <w:color w:val="212529"/>
          <w:kern w:val="0"/>
          <w:sz w:val="25"/>
          <w:szCs w:val="25"/>
          <w:lang w:eastAsia="it-IT"/>
          <w14:ligatures w14:val="none"/>
        </w:rPr>
        <w:t> con la circolare </w:t>
      </w:r>
      <w:hyperlink r:id="rId7" w:history="1">
        <w:r w:rsidRPr="006E6D00">
          <w:rPr>
            <w:rFonts w:ascii="Arial" w:eastAsia="Times New Roman" w:hAnsi="Arial" w:cs="Arial"/>
            <w:color w:val="103E19"/>
            <w:kern w:val="0"/>
            <w:sz w:val="25"/>
            <w:szCs w:val="25"/>
            <w:lang w:eastAsia="it-IT"/>
            <w14:ligatures w14:val="none"/>
          </w:rPr>
          <w:t>n. 15/2025</w:t>
        </w:r>
      </w:hyperlink>
      <w:r w:rsidRPr="006E6D00">
        <w:rPr>
          <w:rFonts w:ascii="Arial" w:eastAsia="Times New Roman" w:hAnsi="Arial" w:cs="Arial"/>
          <w:color w:val="212529"/>
          <w:kern w:val="0"/>
          <w:sz w:val="25"/>
          <w:szCs w:val="25"/>
          <w:lang w:eastAsia="it-IT"/>
          <w14:ligatures w14:val="none"/>
        </w:rPr>
        <w:t> che, a distanza di circa tre mesi dall’</w:t>
      </w:r>
      <w:hyperlink r:id="rId8" w:history="1">
        <w:r w:rsidRPr="006E6D00">
          <w:rPr>
            <w:rFonts w:ascii="Arial" w:eastAsia="Times New Roman" w:hAnsi="Arial" w:cs="Arial"/>
            <w:color w:val="103E19"/>
            <w:kern w:val="0"/>
            <w:sz w:val="25"/>
            <w:szCs w:val="25"/>
            <w:lang w:eastAsia="it-IT"/>
            <w14:ligatures w14:val="none"/>
          </w:rPr>
          <w:t>annuncio del ministero del lavoro</w:t>
        </w:r>
      </w:hyperlink>
      <w:r w:rsidRPr="006E6D00">
        <w:rPr>
          <w:rFonts w:ascii="Arial" w:eastAsia="Times New Roman" w:hAnsi="Arial" w:cs="Arial"/>
          <w:color w:val="212529"/>
          <w:kern w:val="0"/>
          <w:sz w:val="25"/>
          <w:szCs w:val="25"/>
          <w:lang w:eastAsia="it-IT"/>
          <w14:ligatures w14:val="none"/>
        </w:rPr>
        <w:t>, rende operativa la nuova ipotesi di ricongiunzione. La novità si applica alle </w:t>
      </w:r>
      <w:r w:rsidRPr="006E6D00">
        <w:rPr>
          <w:rFonts w:ascii="Arial" w:eastAsia="Times New Roman" w:hAnsi="Arial" w:cs="Arial"/>
          <w:b/>
          <w:bCs/>
          <w:color w:val="212529"/>
          <w:kern w:val="0"/>
          <w:sz w:val="25"/>
          <w:szCs w:val="25"/>
          <w:lang w:eastAsia="it-IT"/>
          <w14:ligatures w14:val="none"/>
        </w:rPr>
        <w:t>domande </w:t>
      </w:r>
      <w:r w:rsidRPr="006E6D00">
        <w:rPr>
          <w:rFonts w:ascii="Arial" w:eastAsia="Times New Roman" w:hAnsi="Arial" w:cs="Arial"/>
          <w:color w:val="212529"/>
          <w:kern w:val="0"/>
          <w:sz w:val="25"/>
          <w:szCs w:val="25"/>
          <w:lang w:eastAsia="it-IT"/>
          <w14:ligatures w14:val="none"/>
        </w:rPr>
        <w:t>e ai </w:t>
      </w:r>
      <w:r w:rsidRPr="006E6D00">
        <w:rPr>
          <w:rFonts w:ascii="Arial" w:eastAsia="Times New Roman" w:hAnsi="Arial" w:cs="Arial"/>
          <w:b/>
          <w:bCs/>
          <w:color w:val="212529"/>
          <w:kern w:val="0"/>
          <w:sz w:val="25"/>
          <w:szCs w:val="25"/>
          <w:lang w:eastAsia="it-IT"/>
          <w14:ligatures w14:val="none"/>
        </w:rPr>
        <w:t>ricorsi </w:t>
      </w:r>
      <w:r w:rsidRPr="006E6D00">
        <w:rPr>
          <w:rFonts w:ascii="Arial" w:eastAsia="Times New Roman" w:hAnsi="Arial" w:cs="Arial"/>
          <w:color w:val="212529"/>
          <w:kern w:val="0"/>
          <w:sz w:val="25"/>
          <w:szCs w:val="25"/>
          <w:lang w:eastAsia="it-IT"/>
          <w14:ligatures w14:val="none"/>
        </w:rPr>
        <w:t>presentati da ieri (9 febbraio), nonché alle domande e ai ricorsi non definiti e giacenti all’Inps.</w:t>
      </w:r>
    </w:p>
    <w:p w14:paraId="31CF9B0E" w14:textId="77777777" w:rsidR="006E6D00" w:rsidRPr="006E6D00" w:rsidRDefault="006E6D00" w:rsidP="00E50E6A">
      <w:pPr>
        <w:spacing w:before="360" w:after="100" w:afterAutospacing="1" w:line="240" w:lineRule="auto"/>
        <w:jc w:val="both"/>
        <w:outlineLvl w:val="1"/>
        <w:rPr>
          <w:rFonts w:ascii="guyot-sans" w:eastAsia="Times New Roman" w:hAnsi="guyot-sans" w:cs="Arial"/>
          <w:b/>
          <w:bCs/>
          <w:color w:val="212529"/>
          <w:kern w:val="0"/>
          <w:sz w:val="27"/>
          <w:szCs w:val="27"/>
          <w:lang w:eastAsia="it-IT"/>
          <w14:ligatures w14:val="none"/>
        </w:rPr>
      </w:pPr>
      <w:r w:rsidRPr="006E6D00">
        <w:rPr>
          <w:rFonts w:ascii="guyot-sans" w:eastAsia="Times New Roman" w:hAnsi="guyot-sans" w:cs="Arial"/>
          <w:b/>
          <w:bCs/>
          <w:color w:val="212529"/>
          <w:kern w:val="0"/>
          <w:sz w:val="27"/>
          <w:szCs w:val="27"/>
          <w:lang w:eastAsia="it-IT"/>
          <w14:ligatures w14:val="none"/>
        </w:rPr>
        <w:t>La ricongiunzione (onerosa)</w:t>
      </w:r>
    </w:p>
    <w:p w14:paraId="047C4513" w14:textId="77777777" w:rsidR="006E6D00" w:rsidRPr="006E6D00" w:rsidRDefault="006E6D00" w:rsidP="00E50E6A">
      <w:pPr>
        <w:spacing w:after="100" w:afterAutospacing="1" w:line="420" w:lineRule="atLeast"/>
        <w:jc w:val="both"/>
        <w:rPr>
          <w:rFonts w:ascii="Arial" w:eastAsia="Times New Roman" w:hAnsi="Arial" w:cs="Arial"/>
          <w:color w:val="212529"/>
          <w:kern w:val="0"/>
          <w:sz w:val="25"/>
          <w:szCs w:val="25"/>
          <w:lang w:eastAsia="it-IT"/>
          <w14:ligatures w14:val="none"/>
        </w:rPr>
      </w:pPr>
      <w:r w:rsidRPr="006E6D00">
        <w:rPr>
          <w:rFonts w:ascii="Arial" w:eastAsia="Times New Roman" w:hAnsi="Arial" w:cs="Arial"/>
          <w:color w:val="212529"/>
          <w:kern w:val="0"/>
          <w:sz w:val="25"/>
          <w:szCs w:val="25"/>
          <w:lang w:eastAsia="it-IT"/>
          <w14:ligatures w14:val="none"/>
        </w:rPr>
        <w:t>La ricongiunzione, mediante il materiale trasferimento, consente di riunire i</w:t>
      </w:r>
      <w:r w:rsidRPr="006E6D00">
        <w:rPr>
          <w:rFonts w:ascii="Arial" w:eastAsia="Times New Roman" w:hAnsi="Arial" w:cs="Arial"/>
          <w:b/>
          <w:bCs/>
          <w:color w:val="212529"/>
          <w:kern w:val="0"/>
          <w:sz w:val="25"/>
          <w:szCs w:val="25"/>
          <w:lang w:eastAsia="it-IT"/>
          <w14:ligatures w14:val="none"/>
        </w:rPr>
        <w:t> contributi versati in varie gestioni</w:t>
      </w:r>
      <w:r w:rsidRPr="006E6D00">
        <w:rPr>
          <w:rFonts w:ascii="Arial" w:eastAsia="Times New Roman" w:hAnsi="Arial" w:cs="Arial"/>
          <w:color w:val="212529"/>
          <w:kern w:val="0"/>
          <w:sz w:val="25"/>
          <w:szCs w:val="25"/>
          <w:lang w:eastAsia="it-IT"/>
          <w14:ligatures w14:val="none"/>
        </w:rPr>
        <w:t> presso un’unica gestione al fine di maturare la pensione. I periodi ricongiunti sono utilizzati come fossero sempre stati versati nel fondo in cui sono unificati, dando diritto alla </w:t>
      </w:r>
      <w:r w:rsidRPr="006E6D00">
        <w:rPr>
          <w:rFonts w:ascii="Arial" w:eastAsia="Times New Roman" w:hAnsi="Arial" w:cs="Arial"/>
          <w:b/>
          <w:bCs/>
          <w:color w:val="212529"/>
          <w:kern w:val="0"/>
          <w:sz w:val="25"/>
          <w:szCs w:val="25"/>
          <w:lang w:eastAsia="it-IT"/>
          <w14:ligatures w14:val="none"/>
        </w:rPr>
        <w:t>pensione </w:t>
      </w:r>
      <w:r w:rsidRPr="006E6D00">
        <w:rPr>
          <w:rFonts w:ascii="Arial" w:eastAsia="Times New Roman" w:hAnsi="Arial" w:cs="Arial"/>
          <w:color w:val="212529"/>
          <w:kern w:val="0"/>
          <w:sz w:val="25"/>
          <w:szCs w:val="25"/>
          <w:lang w:eastAsia="it-IT"/>
          <w14:ligatures w14:val="none"/>
        </w:rPr>
        <w:t>in base ai requisiti previsti dal fondo stesso. Da sempre la gestione separata è stata esclusa dall’ambito di applicazione della ricongiunzione, perché integralmente informata al sistema di </w:t>
      </w:r>
      <w:r w:rsidRPr="006E6D00">
        <w:rPr>
          <w:rFonts w:ascii="Arial" w:eastAsia="Times New Roman" w:hAnsi="Arial" w:cs="Arial"/>
          <w:b/>
          <w:bCs/>
          <w:color w:val="212529"/>
          <w:kern w:val="0"/>
          <w:sz w:val="25"/>
          <w:szCs w:val="25"/>
          <w:lang w:eastAsia="it-IT"/>
          <w14:ligatures w14:val="none"/>
        </w:rPr>
        <w:t>calcolo contributivo</w:t>
      </w:r>
      <w:r w:rsidRPr="006E6D00">
        <w:rPr>
          <w:rFonts w:ascii="Arial" w:eastAsia="Times New Roman" w:hAnsi="Arial" w:cs="Arial"/>
          <w:color w:val="212529"/>
          <w:kern w:val="0"/>
          <w:sz w:val="25"/>
          <w:szCs w:val="25"/>
          <w:lang w:eastAsia="it-IT"/>
          <w14:ligatures w14:val="none"/>
        </w:rPr>
        <w:t>. La </w:t>
      </w:r>
      <w:r w:rsidRPr="006E6D00">
        <w:rPr>
          <w:rFonts w:ascii="Arial" w:eastAsia="Times New Roman" w:hAnsi="Arial" w:cs="Arial"/>
          <w:b/>
          <w:bCs/>
          <w:color w:val="212529"/>
          <w:kern w:val="0"/>
          <w:sz w:val="25"/>
          <w:szCs w:val="25"/>
          <w:lang w:eastAsia="it-IT"/>
          <w14:ligatures w14:val="none"/>
        </w:rPr>
        <w:t>Corte di cassazione</w:t>
      </w:r>
      <w:r w:rsidRPr="006E6D00">
        <w:rPr>
          <w:rFonts w:ascii="Arial" w:eastAsia="Times New Roman" w:hAnsi="Arial" w:cs="Arial"/>
          <w:color w:val="212529"/>
          <w:kern w:val="0"/>
          <w:sz w:val="25"/>
          <w:szCs w:val="25"/>
          <w:lang w:eastAsia="it-IT"/>
          <w14:ligatures w14:val="none"/>
        </w:rPr>
        <w:t>, però, con sentenza n. 26039/2019 ha riconosciuto al libero professionista il diritto di chiedere la ricongiunzione della contribuzione versata nella gestione separata presso la cassa professionale d’iscrizione (ricongiunzione «in uscita» dalla </w:t>
      </w:r>
      <w:r w:rsidRPr="006E6D00">
        <w:rPr>
          <w:rFonts w:ascii="Arial" w:eastAsia="Times New Roman" w:hAnsi="Arial" w:cs="Arial"/>
          <w:b/>
          <w:bCs/>
          <w:color w:val="212529"/>
          <w:kern w:val="0"/>
          <w:sz w:val="25"/>
          <w:szCs w:val="25"/>
          <w:lang w:eastAsia="it-IT"/>
          <w14:ligatures w14:val="none"/>
        </w:rPr>
        <w:t>gestione separata</w:t>
      </w:r>
      <w:r w:rsidRPr="006E6D00">
        <w:rPr>
          <w:rFonts w:ascii="Arial" w:eastAsia="Times New Roman" w:hAnsi="Arial" w:cs="Arial"/>
          <w:color w:val="212529"/>
          <w:kern w:val="0"/>
          <w:sz w:val="25"/>
          <w:szCs w:val="25"/>
          <w:lang w:eastAsia="it-IT"/>
          <w14:ligatures w14:val="none"/>
        </w:rPr>
        <w:t xml:space="preserve">). L’orientamento si è consolidato nel tempo tanto da </w:t>
      </w:r>
      <w:r w:rsidRPr="006E6D00">
        <w:rPr>
          <w:rFonts w:ascii="Arial" w:eastAsia="Times New Roman" w:hAnsi="Arial" w:cs="Arial"/>
          <w:color w:val="212529"/>
          <w:kern w:val="0"/>
          <w:sz w:val="25"/>
          <w:szCs w:val="25"/>
          <w:lang w:eastAsia="it-IT"/>
          <w14:ligatures w14:val="none"/>
        </w:rPr>
        <w:lastRenderedPageBreak/>
        <w:t>spingere il </w:t>
      </w:r>
      <w:r w:rsidRPr="006E6D00">
        <w:rPr>
          <w:rFonts w:ascii="Arial" w:eastAsia="Times New Roman" w:hAnsi="Arial" w:cs="Arial"/>
          <w:b/>
          <w:bCs/>
          <w:color w:val="212529"/>
          <w:kern w:val="0"/>
          <w:sz w:val="25"/>
          <w:szCs w:val="25"/>
          <w:lang w:eastAsia="it-IT"/>
          <w14:ligatures w14:val="none"/>
        </w:rPr>
        <w:t>ministero del lavoro</w:t>
      </w:r>
      <w:r w:rsidRPr="006E6D00">
        <w:rPr>
          <w:rFonts w:ascii="Arial" w:eastAsia="Times New Roman" w:hAnsi="Arial" w:cs="Arial"/>
          <w:color w:val="212529"/>
          <w:kern w:val="0"/>
          <w:sz w:val="25"/>
          <w:szCs w:val="25"/>
          <w:lang w:eastAsia="it-IT"/>
          <w14:ligatures w14:val="none"/>
        </w:rPr>
        <w:t> a superare la prassi amministrativa, da sempre di segno contrario, al fine di consentire la ricongiunzione tra gestione separata e casse professionali sia in entrata (da una cassa verso la gestione separata) sia in uscita (dalla gestione separata verso una cassa). </w:t>
      </w:r>
    </w:p>
    <w:p w14:paraId="2E72AD57" w14:textId="77777777" w:rsidR="006E6D00" w:rsidRPr="006E6D00" w:rsidRDefault="006E6D00" w:rsidP="00E50E6A">
      <w:pPr>
        <w:spacing w:before="360" w:after="100" w:afterAutospacing="1" w:line="240" w:lineRule="auto"/>
        <w:jc w:val="both"/>
        <w:outlineLvl w:val="1"/>
        <w:rPr>
          <w:rFonts w:ascii="guyot-sans" w:eastAsia="Times New Roman" w:hAnsi="guyot-sans" w:cs="Arial"/>
          <w:b/>
          <w:bCs/>
          <w:color w:val="212529"/>
          <w:kern w:val="0"/>
          <w:sz w:val="27"/>
          <w:szCs w:val="27"/>
          <w:lang w:eastAsia="it-IT"/>
          <w14:ligatures w14:val="none"/>
        </w:rPr>
      </w:pPr>
      <w:r w:rsidRPr="006E6D00">
        <w:rPr>
          <w:rFonts w:ascii="guyot-sans" w:eastAsia="Times New Roman" w:hAnsi="guyot-sans" w:cs="Arial"/>
          <w:b/>
          <w:bCs/>
          <w:color w:val="212529"/>
          <w:kern w:val="0"/>
          <w:sz w:val="27"/>
          <w:szCs w:val="27"/>
          <w:lang w:eastAsia="it-IT"/>
          <w14:ligatures w14:val="none"/>
        </w:rPr>
        <w:t>Gli interessati</w:t>
      </w:r>
    </w:p>
    <w:p w14:paraId="0070A85E" w14:textId="77777777" w:rsidR="006E6D00" w:rsidRPr="006E6D00" w:rsidRDefault="006E6D00" w:rsidP="00E50E6A">
      <w:pPr>
        <w:spacing w:after="100" w:afterAutospacing="1" w:line="420" w:lineRule="atLeast"/>
        <w:jc w:val="both"/>
        <w:rPr>
          <w:rFonts w:ascii="Arial" w:eastAsia="Times New Roman" w:hAnsi="Arial" w:cs="Arial"/>
          <w:color w:val="212529"/>
          <w:kern w:val="0"/>
          <w:sz w:val="25"/>
          <w:szCs w:val="25"/>
          <w:lang w:eastAsia="it-IT"/>
          <w14:ligatures w14:val="none"/>
        </w:rPr>
      </w:pPr>
      <w:r w:rsidRPr="006E6D00">
        <w:rPr>
          <w:rFonts w:ascii="Arial" w:eastAsia="Times New Roman" w:hAnsi="Arial" w:cs="Arial"/>
          <w:color w:val="212529"/>
          <w:kern w:val="0"/>
          <w:sz w:val="25"/>
          <w:szCs w:val="25"/>
          <w:lang w:eastAsia="it-IT"/>
          <w14:ligatures w14:val="none"/>
        </w:rPr>
        <w:t>Delle due ricongiunzioni è quella in entrata (da una cassa verso la gestione separata) la novità assoluta. È l’ipotesi, ad esempio, in cui il </w:t>
      </w:r>
      <w:r w:rsidRPr="006E6D00">
        <w:rPr>
          <w:rFonts w:ascii="Arial" w:eastAsia="Times New Roman" w:hAnsi="Arial" w:cs="Arial"/>
          <w:b/>
          <w:bCs/>
          <w:color w:val="212529"/>
          <w:kern w:val="0"/>
          <w:sz w:val="25"/>
          <w:szCs w:val="25"/>
          <w:lang w:eastAsia="it-IT"/>
          <w14:ligatures w14:val="none"/>
        </w:rPr>
        <w:t>professionista</w:t>
      </w:r>
      <w:r w:rsidRPr="006E6D00">
        <w:rPr>
          <w:rFonts w:ascii="Arial" w:eastAsia="Times New Roman" w:hAnsi="Arial" w:cs="Arial"/>
          <w:color w:val="212529"/>
          <w:kern w:val="0"/>
          <w:sz w:val="25"/>
          <w:szCs w:val="25"/>
          <w:lang w:eastAsia="it-IT"/>
          <w14:ligatures w14:val="none"/>
        </w:rPr>
        <w:t> (avvocato, commercialista, etc.) chieda di ricongiungere i contributi versati alla cassa presso la gestione separata, dove ha già altri contributi versati. L’Inps spiega che la </w:t>
      </w:r>
      <w:r w:rsidRPr="006E6D00">
        <w:rPr>
          <w:rFonts w:ascii="Arial" w:eastAsia="Times New Roman" w:hAnsi="Arial" w:cs="Arial"/>
          <w:b/>
          <w:bCs/>
          <w:color w:val="212529"/>
          <w:kern w:val="0"/>
          <w:sz w:val="25"/>
          <w:szCs w:val="25"/>
          <w:lang w:eastAsia="it-IT"/>
          <w14:ligatures w14:val="none"/>
        </w:rPr>
        <w:t>domanda di ricongiunzione</w:t>
      </w:r>
      <w:r w:rsidRPr="006E6D00">
        <w:rPr>
          <w:rFonts w:ascii="Arial" w:eastAsia="Times New Roman" w:hAnsi="Arial" w:cs="Arial"/>
          <w:color w:val="212529"/>
          <w:kern w:val="0"/>
          <w:sz w:val="25"/>
          <w:szCs w:val="25"/>
          <w:lang w:eastAsia="it-IT"/>
          <w14:ligatures w14:val="none"/>
        </w:rPr>
        <w:t> deve riguardare tutti e per intero i periodi di contribuzione maturati presso altre forme previdenziali ancora disponibili; di conseguenza, sono </w:t>
      </w:r>
      <w:r w:rsidRPr="006E6D00">
        <w:rPr>
          <w:rFonts w:ascii="Arial" w:eastAsia="Times New Roman" w:hAnsi="Arial" w:cs="Arial"/>
          <w:b/>
          <w:bCs/>
          <w:color w:val="212529"/>
          <w:kern w:val="0"/>
          <w:sz w:val="25"/>
          <w:szCs w:val="25"/>
          <w:lang w:eastAsia="it-IT"/>
          <w14:ligatures w14:val="none"/>
        </w:rPr>
        <w:t>esclusi i periodi</w:t>
      </w:r>
      <w:r w:rsidRPr="006E6D00">
        <w:rPr>
          <w:rFonts w:ascii="Arial" w:eastAsia="Times New Roman" w:hAnsi="Arial" w:cs="Arial"/>
          <w:color w:val="212529"/>
          <w:kern w:val="0"/>
          <w:sz w:val="25"/>
          <w:szCs w:val="25"/>
          <w:lang w:eastAsia="it-IT"/>
          <w14:ligatures w14:val="none"/>
        </w:rPr>
        <w:t> che hanno dato luogo a pensione (contribuzione non più disponibile). L’Inps ricorda, inoltre, che l'</w:t>
      </w:r>
      <w:r w:rsidRPr="006E6D00">
        <w:rPr>
          <w:rFonts w:ascii="Arial" w:eastAsia="Times New Roman" w:hAnsi="Arial" w:cs="Arial"/>
          <w:b/>
          <w:bCs/>
          <w:color w:val="212529"/>
          <w:kern w:val="0"/>
          <w:sz w:val="25"/>
          <w:szCs w:val="25"/>
          <w:lang w:eastAsia="it-IT"/>
          <w14:ligatures w14:val="none"/>
        </w:rPr>
        <w:t>obbligo d’iscrizione</w:t>
      </w:r>
      <w:r w:rsidRPr="006E6D00">
        <w:rPr>
          <w:rFonts w:ascii="Arial" w:eastAsia="Times New Roman" w:hAnsi="Arial" w:cs="Arial"/>
          <w:color w:val="212529"/>
          <w:kern w:val="0"/>
          <w:sz w:val="25"/>
          <w:szCs w:val="25"/>
          <w:lang w:eastAsia="it-IT"/>
          <w14:ligatures w14:val="none"/>
        </w:rPr>
        <w:t> alla gestione separata è scattato dal 1° aprile 1996 per i soggetti non pensionati o non iscritti a forme pensionistiche; e dal 30 giugno 1996 per coloro che risultavano già pensionati o iscritti a forme pensionistiche. Ora, poiché la ricongiunzione, di per sé, non può estendere </w:t>
      </w:r>
      <w:r w:rsidRPr="006E6D00">
        <w:rPr>
          <w:rFonts w:ascii="Arial" w:eastAsia="Times New Roman" w:hAnsi="Arial" w:cs="Arial"/>
          <w:b/>
          <w:bCs/>
          <w:color w:val="212529"/>
          <w:kern w:val="0"/>
          <w:sz w:val="25"/>
          <w:szCs w:val="25"/>
          <w:lang w:eastAsia="it-IT"/>
          <w14:ligatures w14:val="none"/>
        </w:rPr>
        <w:t>retroattivamente </w:t>
      </w:r>
      <w:r w:rsidRPr="006E6D00">
        <w:rPr>
          <w:rFonts w:ascii="Arial" w:eastAsia="Times New Roman" w:hAnsi="Arial" w:cs="Arial"/>
          <w:color w:val="212529"/>
          <w:kern w:val="0"/>
          <w:sz w:val="25"/>
          <w:szCs w:val="25"/>
          <w:lang w:eastAsia="it-IT"/>
          <w14:ligatures w14:val="none"/>
        </w:rPr>
        <w:t>l’operatività della gestione separata (cioè a periodi anteriori alla sua istituzione), deve ritenersi esclusa dalla ricongiunzione in entrata verso la gestione separata la cassa professionale in cui il richiedente sia titolare, anche solo in parte, di periodi contributivi antecedenti alla data di decorrenza dell’obbligo contributivo (1° aprile 1996).</w:t>
      </w:r>
    </w:p>
    <w:p w14:paraId="7CF7D5BE" w14:textId="77777777" w:rsidR="006E6D00" w:rsidRPr="006E6D00" w:rsidRDefault="006E6D00" w:rsidP="00E50E6A">
      <w:pPr>
        <w:spacing w:before="360" w:after="100" w:afterAutospacing="1" w:line="240" w:lineRule="auto"/>
        <w:jc w:val="both"/>
        <w:outlineLvl w:val="1"/>
        <w:rPr>
          <w:rFonts w:ascii="guyot-sans" w:eastAsia="Times New Roman" w:hAnsi="guyot-sans" w:cs="Arial"/>
          <w:b/>
          <w:bCs/>
          <w:color w:val="212529"/>
          <w:kern w:val="0"/>
          <w:sz w:val="27"/>
          <w:szCs w:val="27"/>
          <w:lang w:eastAsia="it-IT"/>
          <w14:ligatures w14:val="none"/>
        </w:rPr>
      </w:pPr>
      <w:r w:rsidRPr="006E6D00">
        <w:rPr>
          <w:rFonts w:ascii="guyot-sans" w:eastAsia="Times New Roman" w:hAnsi="guyot-sans" w:cs="Arial"/>
          <w:b/>
          <w:bCs/>
          <w:color w:val="212529"/>
          <w:kern w:val="0"/>
          <w:sz w:val="27"/>
          <w:szCs w:val="27"/>
          <w:lang w:eastAsia="it-IT"/>
          <w14:ligatures w14:val="none"/>
        </w:rPr>
        <w:t>Quanto costa la ricongiunzione</w:t>
      </w:r>
    </w:p>
    <w:p w14:paraId="4ACFD1AF" w14:textId="77777777" w:rsidR="006E6D00" w:rsidRPr="006E6D00" w:rsidRDefault="006E6D00" w:rsidP="00E50E6A">
      <w:pPr>
        <w:spacing w:after="100" w:afterAutospacing="1" w:line="420" w:lineRule="atLeast"/>
        <w:jc w:val="both"/>
        <w:rPr>
          <w:rFonts w:ascii="Arial" w:eastAsia="Times New Roman" w:hAnsi="Arial" w:cs="Arial"/>
          <w:color w:val="212529"/>
          <w:kern w:val="0"/>
          <w:sz w:val="25"/>
          <w:szCs w:val="25"/>
          <w:lang w:eastAsia="it-IT"/>
          <w14:ligatures w14:val="none"/>
        </w:rPr>
      </w:pPr>
      <w:r w:rsidRPr="006E6D00">
        <w:rPr>
          <w:rFonts w:ascii="Arial" w:eastAsia="Times New Roman" w:hAnsi="Arial" w:cs="Arial"/>
          <w:color w:val="212529"/>
          <w:kern w:val="0"/>
          <w:sz w:val="25"/>
          <w:szCs w:val="25"/>
          <w:lang w:eastAsia="it-IT"/>
          <w14:ligatures w14:val="none"/>
        </w:rPr>
        <w:t>Per quanto riguarda la determinazione dell’onere di ricongiunzione dovuto dal professionista, l’Inps precisa che si applica il criterio del «</w:t>
      </w:r>
      <w:r w:rsidRPr="006E6D00">
        <w:rPr>
          <w:rFonts w:ascii="Arial" w:eastAsia="Times New Roman" w:hAnsi="Arial" w:cs="Arial"/>
          <w:b/>
          <w:bCs/>
          <w:color w:val="212529"/>
          <w:kern w:val="0"/>
          <w:sz w:val="25"/>
          <w:szCs w:val="25"/>
          <w:lang w:eastAsia="it-IT"/>
          <w14:ligatures w14:val="none"/>
        </w:rPr>
        <w:t>calcolo a percentuale</w:t>
      </w:r>
      <w:r w:rsidRPr="006E6D00">
        <w:rPr>
          <w:rFonts w:ascii="Arial" w:eastAsia="Times New Roman" w:hAnsi="Arial" w:cs="Arial"/>
          <w:color w:val="212529"/>
          <w:kern w:val="0"/>
          <w:sz w:val="25"/>
          <w:szCs w:val="25"/>
          <w:lang w:eastAsia="it-IT"/>
          <w14:ligatures w14:val="none"/>
        </w:rPr>
        <w:t>», in considerazione del fatto che i periodi ricongiunti andranno </w:t>
      </w:r>
      <w:r w:rsidRPr="006E6D00">
        <w:rPr>
          <w:rFonts w:ascii="Arial" w:eastAsia="Times New Roman" w:hAnsi="Arial" w:cs="Arial"/>
          <w:b/>
          <w:bCs/>
          <w:color w:val="212529"/>
          <w:kern w:val="0"/>
          <w:sz w:val="25"/>
          <w:szCs w:val="25"/>
          <w:lang w:eastAsia="it-IT"/>
          <w14:ligatures w14:val="none"/>
        </w:rPr>
        <w:t>valutati nel sistema contributivo</w:t>
      </w:r>
      <w:r w:rsidRPr="006E6D00">
        <w:rPr>
          <w:rFonts w:ascii="Arial" w:eastAsia="Times New Roman" w:hAnsi="Arial" w:cs="Arial"/>
          <w:color w:val="212529"/>
          <w:kern w:val="0"/>
          <w:sz w:val="25"/>
          <w:szCs w:val="25"/>
          <w:lang w:eastAsia="it-IT"/>
          <w14:ligatures w14:val="none"/>
        </w:rPr>
        <w:t>. In altre parole, l’onere è calcolato applicando l’aliquota contributiva vigente presso la gestione separata alla data di presentazione della domanda di ricongiunzione sulla </w:t>
      </w:r>
      <w:r w:rsidRPr="006E6D00">
        <w:rPr>
          <w:rFonts w:ascii="Arial" w:eastAsia="Times New Roman" w:hAnsi="Arial" w:cs="Arial"/>
          <w:b/>
          <w:bCs/>
          <w:color w:val="212529"/>
          <w:kern w:val="0"/>
          <w:sz w:val="25"/>
          <w:szCs w:val="25"/>
          <w:lang w:eastAsia="it-IT"/>
          <w14:ligatures w14:val="none"/>
        </w:rPr>
        <w:t>retribuzione dei 12 mesi meno remoti </w:t>
      </w:r>
      <w:r w:rsidRPr="006E6D00">
        <w:rPr>
          <w:rFonts w:ascii="Arial" w:eastAsia="Times New Roman" w:hAnsi="Arial" w:cs="Arial"/>
          <w:color w:val="212529"/>
          <w:kern w:val="0"/>
          <w:sz w:val="25"/>
          <w:szCs w:val="25"/>
          <w:lang w:eastAsia="it-IT"/>
          <w14:ligatures w14:val="none"/>
        </w:rPr>
        <w:t>rispetto sempre alla data della domanda (comunque nel rispetto del «minimale» contributivo, pari 18.808 euro nell’anno 2026). Dall’onere contributivo così determinato si sottrae, poi, l’ammontare dei contributi trasferito dalle casse di provenienza, ottenendo l’</w:t>
      </w:r>
      <w:r w:rsidRPr="006E6D00">
        <w:rPr>
          <w:rFonts w:ascii="Arial" w:eastAsia="Times New Roman" w:hAnsi="Arial" w:cs="Arial"/>
          <w:b/>
          <w:bCs/>
          <w:color w:val="212529"/>
          <w:kern w:val="0"/>
          <w:sz w:val="25"/>
          <w:szCs w:val="25"/>
          <w:lang w:eastAsia="it-IT"/>
          <w14:ligatures w14:val="none"/>
        </w:rPr>
        <w:t>onere netto</w:t>
      </w:r>
      <w:r w:rsidRPr="006E6D00">
        <w:rPr>
          <w:rFonts w:ascii="Arial" w:eastAsia="Times New Roman" w:hAnsi="Arial" w:cs="Arial"/>
          <w:color w:val="212529"/>
          <w:kern w:val="0"/>
          <w:sz w:val="25"/>
          <w:szCs w:val="25"/>
          <w:lang w:eastAsia="it-IT"/>
          <w14:ligatures w14:val="none"/>
        </w:rPr>
        <w:t xml:space="preserve"> che il </w:t>
      </w:r>
      <w:r w:rsidRPr="006E6D00">
        <w:rPr>
          <w:rFonts w:ascii="Arial" w:eastAsia="Times New Roman" w:hAnsi="Arial" w:cs="Arial"/>
          <w:color w:val="212529"/>
          <w:kern w:val="0"/>
          <w:sz w:val="25"/>
          <w:szCs w:val="25"/>
          <w:lang w:eastAsia="it-IT"/>
          <w14:ligatures w14:val="none"/>
        </w:rPr>
        <w:lastRenderedPageBreak/>
        <w:t>professionista deve versare. Di norma, le casse hanno aliquote di contribuzione inferiori a quella della gestione separata; ad esempio, un freelance iscritto a</w:t>
      </w:r>
      <w:r w:rsidRPr="006E6D00">
        <w:rPr>
          <w:rFonts w:ascii="Arial" w:eastAsia="Times New Roman" w:hAnsi="Arial" w:cs="Arial"/>
          <w:b/>
          <w:bCs/>
          <w:color w:val="212529"/>
          <w:kern w:val="0"/>
          <w:sz w:val="25"/>
          <w:szCs w:val="25"/>
          <w:lang w:eastAsia="it-IT"/>
          <w14:ligatures w14:val="none"/>
        </w:rPr>
        <w:t> Inpgi-2</w:t>
      </w:r>
      <w:r w:rsidRPr="006E6D00">
        <w:rPr>
          <w:rFonts w:ascii="Arial" w:eastAsia="Times New Roman" w:hAnsi="Arial" w:cs="Arial"/>
          <w:color w:val="212529"/>
          <w:kern w:val="0"/>
          <w:sz w:val="25"/>
          <w:szCs w:val="25"/>
          <w:lang w:eastAsia="it-IT"/>
          <w14:ligatures w14:val="none"/>
        </w:rPr>
        <w:t> versa il 12% rispetto al 25% della gestione separata. Pertanto, l’eventuale ricongiunzione, da Inpgi-2 verso gestione separata, comporterà un </w:t>
      </w:r>
      <w:r w:rsidRPr="006E6D00">
        <w:rPr>
          <w:rFonts w:ascii="Arial" w:eastAsia="Times New Roman" w:hAnsi="Arial" w:cs="Arial"/>
          <w:b/>
          <w:bCs/>
          <w:color w:val="212529"/>
          <w:kern w:val="0"/>
          <w:sz w:val="25"/>
          <w:szCs w:val="25"/>
          <w:lang w:eastAsia="it-IT"/>
          <w14:ligatures w14:val="none"/>
        </w:rPr>
        <w:t>significativo onere </w:t>
      </w:r>
      <w:r w:rsidRPr="006E6D00">
        <w:rPr>
          <w:rFonts w:ascii="Arial" w:eastAsia="Times New Roman" w:hAnsi="Arial" w:cs="Arial"/>
          <w:color w:val="212529"/>
          <w:kern w:val="0"/>
          <w:sz w:val="25"/>
          <w:szCs w:val="25"/>
          <w:lang w:eastAsia="it-IT"/>
          <w14:ligatures w14:val="none"/>
        </w:rPr>
        <w:t>di versamento che, tuttavia, contribuirà anche a far lievitare la base di calcolo della futura pensione.</w:t>
      </w:r>
    </w:p>
    <w:p w14:paraId="21AC0F1A" w14:textId="77777777" w:rsidR="006E6D00" w:rsidRPr="006E6D00" w:rsidRDefault="006E6D00" w:rsidP="00E50E6A">
      <w:pPr>
        <w:spacing w:after="100" w:afterAutospacing="1" w:line="420" w:lineRule="atLeast"/>
        <w:jc w:val="both"/>
        <w:rPr>
          <w:rFonts w:ascii="Arial" w:eastAsia="Times New Roman" w:hAnsi="Arial" w:cs="Arial"/>
          <w:color w:val="212529"/>
          <w:kern w:val="0"/>
          <w:sz w:val="25"/>
          <w:szCs w:val="25"/>
          <w:lang w:eastAsia="it-IT"/>
          <w14:ligatures w14:val="none"/>
        </w:rPr>
      </w:pPr>
      <w:r w:rsidRPr="006E6D00">
        <w:rPr>
          <w:rFonts w:ascii="Arial" w:eastAsia="Times New Roman" w:hAnsi="Arial" w:cs="Arial"/>
          <w:i/>
          <w:iCs/>
          <w:color w:val="212529"/>
          <w:kern w:val="0"/>
          <w:sz w:val="25"/>
          <w:szCs w:val="25"/>
          <w:lang w:eastAsia="it-IT"/>
          <w14:ligatures w14:val="none"/>
        </w:rPr>
        <w:t>Riproduzione riservata</w:t>
      </w:r>
    </w:p>
    <w:p w14:paraId="60CC1AD5" w14:textId="77777777" w:rsidR="006E6D00" w:rsidRPr="006E6D00" w:rsidRDefault="00744841" w:rsidP="00E50E6A">
      <w:pPr>
        <w:shd w:val="clear" w:color="auto" w:fill="F0EFDD"/>
        <w:spacing w:after="0" w:line="360" w:lineRule="atLeast"/>
        <w:jc w:val="both"/>
        <w:outlineLvl w:val="5"/>
        <w:rPr>
          <w:rFonts w:ascii="guyot-sans" w:eastAsia="Times New Roman" w:hAnsi="guyot-sans" w:cs="Arial"/>
          <w:b/>
          <w:bCs/>
          <w:color w:val="050D06"/>
          <w:kern w:val="0"/>
          <w:sz w:val="25"/>
          <w:szCs w:val="25"/>
          <w:lang w:eastAsia="it-IT"/>
          <w14:ligatures w14:val="none"/>
        </w:rPr>
      </w:pPr>
      <w:hyperlink r:id="rId9" w:history="1">
        <w:r w:rsidR="006E6D00" w:rsidRPr="006E6D00">
          <w:rPr>
            <w:rFonts w:ascii="guyot-sans" w:eastAsia="Times New Roman" w:hAnsi="guyot-sans" w:cs="Arial"/>
            <w:b/>
            <w:bCs/>
            <w:color w:val="050D06"/>
            <w:kern w:val="0"/>
            <w:sz w:val="27"/>
            <w:szCs w:val="27"/>
            <w:lang w:eastAsia="it-IT"/>
            <w14:ligatures w14:val="none"/>
          </w:rPr>
          <w:t>Daniele Cirioli</w:t>
        </w:r>
      </w:hyperlink>
    </w:p>
    <w:p w14:paraId="5FCFD3F3" w14:textId="77777777" w:rsidR="0060098B" w:rsidRDefault="0060098B" w:rsidP="00E50E6A">
      <w:pPr>
        <w:jc w:val="both"/>
      </w:pPr>
    </w:p>
    <w:sectPr w:rsidR="006009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yot-sans">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E6289"/>
    <w:multiLevelType w:val="multilevel"/>
    <w:tmpl w:val="E47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00"/>
    <w:rsid w:val="002D414A"/>
    <w:rsid w:val="003B475F"/>
    <w:rsid w:val="00444E20"/>
    <w:rsid w:val="0060098B"/>
    <w:rsid w:val="00614C87"/>
    <w:rsid w:val="00665078"/>
    <w:rsid w:val="006B33DC"/>
    <w:rsid w:val="006E6D00"/>
    <w:rsid w:val="00731503"/>
    <w:rsid w:val="00744841"/>
    <w:rsid w:val="0077742D"/>
    <w:rsid w:val="007E1AE0"/>
    <w:rsid w:val="00807B42"/>
    <w:rsid w:val="009434C9"/>
    <w:rsid w:val="00E50E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E6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6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6D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6D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6D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6D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6D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6D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6D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6D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6D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6D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6D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6D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6D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6D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6D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6D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6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6D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6D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6D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6D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6D00"/>
    <w:rPr>
      <w:i/>
      <w:iCs/>
      <w:color w:val="404040" w:themeColor="text1" w:themeTint="BF"/>
    </w:rPr>
  </w:style>
  <w:style w:type="paragraph" w:styleId="Paragrafoelenco">
    <w:name w:val="List Paragraph"/>
    <w:basedOn w:val="Normale"/>
    <w:uiPriority w:val="34"/>
    <w:qFormat/>
    <w:rsid w:val="006E6D00"/>
    <w:pPr>
      <w:ind w:left="720"/>
      <w:contextualSpacing/>
    </w:pPr>
  </w:style>
  <w:style w:type="character" w:styleId="Enfasiintensa">
    <w:name w:val="Intense Emphasis"/>
    <w:basedOn w:val="Carpredefinitoparagrafo"/>
    <w:uiPriority w:val="21"/>
    <w:qFormat/>
    <w:rsid w:val="006E6D00"/>
    <w:rPr>
      <w:i/>
      <w:iCs/>
      <w:color w:val="0F4761" w:themeColor="accent1" w:themeShade="BF"/>
    </w:rPr>
  </w:style>
  <w:style w:type="paragraph" w:styleId="Citazioneintensa">
    <w:name w:val="Intense Quote"/>
    <w:basedOn w:val="Normale"/>
    <w:next w:val="Normale"/>
    <w:link w:val="CitazioneintensaCarattere"/>
    <w:uiPriority w:val="30"/>
    <w:qFormat/>
    <w:rsid w:val="006E6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6D00"/>
    <w:rPr>
      <w:i/>
      <w:iCs/>
      <w:color w:val="0F4761" w:themeColor="accent1" w:themeShade="BF"/>
    </w:rPr>
  </w:style>
  <w:style w:type="character" w:styleId="Riferimentointenso">
    <w:name w:val="Intense Reference"/>
    <w:basedOn w:val="Carpredefinitoparagrafo"/>
    <w:uiPriority w:val="32"/>
    <w:qFormat/>
    <w:rsid w:val="006E6D0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6E6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6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6D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6D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6D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6D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6D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6D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6D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6D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6D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6D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6D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6D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6D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6D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6D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6D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6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6D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6D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6D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6D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6D00"/>
    <w:rPr>
      <w:i/>
      <w:iCs/>
      <w:color w:val="404040" w:themeColor="text1" w:themeTint="BF"/>
    </w:rPr>
  </w:style>
  <w:style w:type="paragraph" w:styleId="Paragrafoelenco">
    <w:name w:val="List Paragraph"/>
    <w:basedOn w:val="Normale"/>
    <w:uiPriority w:val="34"/>
    <w:qFormat/>
    <w:rsid w:val="006E6D00"/>
    <w:pPr>
      <w:ind w:left="720"/>
      <w:contextualSpacing/>
    </w:pPr>
  </w:style>
  <w:style w:type="character" w:styleId="Enfasiintensa">
    <w:name w:val="Intense Emphasis"/>
    <w:basedOn w:val="Carpredefinitoparagrafo"/>
    <w:uiPriority w:val="21"/>
    <w:qFormat/>
    <w:rsid w:val="006E6D00"/>
    <w:rPr>
      <w:i/>
      <w:iCs/>
      <w:color w:val="0F4761" w:themeColor="accent1" w:themeShade="BF"/>
    </w:rPr>
  </w:style>
  <w:style w:type="paragraph" w:styleId="Citazioneintensa">
    <w:name w:val="Intense Quote"/>
    <w:basedOn w:val="Normale"/>
    <w:next w:val="Normale"/>
    <w:link w:val="CitazioneintensaCarattere"/>
    <w:uiPriority w:val="30"/>
    <w:qFormat/>
    <w:rsid w:val="006E6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6D00"/>
    <w:rPr>
      <w:i/>
      <w:iCs/>
      <w:color w:val="0F4761" w:themeColor="accent1" w:themeShade="BF"/>
    </w:rPr>
  </w:style>
  <w:style w:type="character" w:styleId="Riferimentointenso">
    <w:name w:val="Intense Reference"/>
    <w:basedOn w:val="Carpredefinitoparagrafo"/>
    <w:uiPriority w:val="32"/>
    <w:qFormat/>
    <w:rsid w:val="006E6D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aliaoggi.it/diritto-e-fisco/lavoro-e-previdenza/pensioni-anche-per-i-professionisti-arriva-la-ricongiunzione-dei-contributi-prsp1ugf" TargetMode="External"/><Relationship Id="rId3" Type="http://schemas.microsoft.com/office/2007/relationships/stylesWithEffects" Target="stylesWithEffects.xml"/><Relationship Id="rId7" Type="http://schemas.openxmlformats.org/officeDocument/2006/relationships/hyperlink" Target="https://www.italiaogg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aliaoggi.it/author/daniele-cirioli-x7m21w5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aliaoggi.it/author/daniele-cirioli-x7m21w5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Cerri</dc:creator>
  <cp:lastModifiedBy>Alessandra Fabbri</cp:lastModifiedBy>
  <cp:revision>2</cp:revision>
  <dcterms:created xsi:type="dcterms:W3CDTF">2026-02-12T10:13:00Z</dcterms:created>
  <dcterms:modified xsi:type="dcterms:W3CDTF">2026-02-12T10:13:00Z</dcterms:modified>
</cp:coreProperties>
</file>